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A4" w:rsidRDefault="00E81FA4" w:rsidP="006505E6">
      <w:pPr>
        <w:jc w:val="center"/>
        <w:rPr>
          <w:b/>
          <w:sz w:val="26"/>
          <w:szCs w:val="26"/>
        </w:rPr>
      </w:pPr>
      <w:r w:rsidRPr="000B43B6">
        <w:rPr>
          <w:b/>
          <w:sz w:val="26"/>
          <w:szCs w:val="26"/>
        </w:rPr>
        <w:t xml:space="preserve">Salary and Benefits Committee </w:t>
      </w:r>
      <w:r w:rsidR="00213798" w:rsidRPr="000B43B6">
        <w:rPr>
          <w:b/>
          <w:sz w:val="26"/>
          <w:szCs w:val="26"/>
        </w:rPr>
        <w:t>201</w:t>
      </w:r>
      <w:r w:rsidR="002C0677">
        <w:rPr>
          <w:b/>
          <w:sz w:val="26"/>
          <w:szCs w:val="26"/>
        </w:rPr>
        <w:t>8</w:t>
      </w:r>
      <w:r w:rsidR="00EE738E" w:rsidRPr="000B43B6">
        <w:rPr>
          <w:b/>
          <w:sz w:val="26"/>
          <w:szCs w:val="26"/>
        </w:rPr>
        <w:t xml:space="preserve"> Recommendations</w:t>
      </w:r>
    </w:p>
    <w:p w:rsidR="004E1997" w:rsidRPr="004E1997" w:rsidRDefault="00D76C42" w:rsidP="00E81FA4">
      <w:pPr>
        <w:pStyle w:val="ListParagraph"/>
        <w:numPr>
          <w:ilvl w:val="0"/>
          <w:numId w:val="1"/>
        </w:numPr>
        <w:rPr>
          <w:sz w:val="26"/>
          <w:szCs w:val="26"/>
        </w:rPr>
      </w:pPr>
      <w:r w:rsidRPr="000B43B6">
        <w:rPr>
          <w:sz w:val="26"/>
          <w:szCs w:val="26"/>
        </w:rPr>
        <w:t>Maintain</w:t>
      </w:r>
      <w:r w:rsidR="00E81FA4" w:rsidRPr="000B43B6">
        <w:rPr>
          <w:sz w:val="26"/>
          <w:szCs w:val="26"/>
        </w:rPr>
        <w:t xml:space="preserve"> at least 80% of budget devoted to salary &amp; benefits</w:t>
      </w:r>
      <w:r w:rsidR="00DD7FAF" w:rsidRPr="000B43B6">
        <w:rPr>
          <w:sz w:val="26"/>
          <w:szCs w:val="26"/>
        </w:rPr>
        <w:t>.</w:t>
      </w:r>
    </w:p>
    <w:p w:rsidR="00832DA7" w:rsidRPr="00ED25F3" w:rsidRDefault="004E1997" w:rsidP="00ED25F3">
      <w:pPr>
        <w:pStyle w:val="ListParagraph"/>
        <w:numPr>
          <w:ilvl w:val="1"/>
          <w:numId w:val="1"/>
        </w:numPr>
        <w:rPr>
          <w:sz w:val="26"/>
          <w:szCs w:val="26"/>
        </w:rPr>
      </w:pPr>
      <w:r>
        <w:rPr>
          <w:color w:val="FF0000"/>
          <w:sz w:val="26"/>
          <w:szCs w:val="26"/>
        </w:rPr>
        <w:t>A</w:t>
      </w:r>
      <w:r w:rsidR="00CB08B8">
        <w:rPr>
          <w:color w:val="FF0000"/>
          <w:sz w:val="26"/>
          <w:szCs w:val="26"/>
        </w:rPr>
        <w:t>greed</w:t>
      </w:r>
      <w:r>
        <w:rPr>
          <w:color w:val="FF0000"/>
          <w:sz w:val="26"/>
          <w:szCs w:val="26"/>
        </w:rPr>
        <w:t>: note this is a finite amount from which these recommendations can be funded</w:t>
      </w:r>
    </w:p>
    <w:p w:rsidR="004E1997" w:rsidRPr="004E1997" w:rsidRDefault="00EC216E" w:rsidP="00E81FA4">
      <w:pPr>
        <w:pStyle w:val="ListParagraph"/>
        <w:numPr>
          <w:ilvl w:val="0"/>
          <w:numId w:val="1"/>
        </w:numPr>
        <w:rPr>
          <w:sz w:val="26"/>
          <w:szCs w:val="26"/>
        </w:rPr>
      </w:pPr>
      <w:r>
        <w:rPr>
          <w:sz w:val="26"/>
          <w:szCs w:val="26"/>
        </w:rPr>
        <w:t>All full time s</w:t>
      </w:r>
      <w:r w:rsidR="00DC614D">
        <w:rPr>
          <w:sz w:val="26"/>
          <w:szCs w:val="26"/>
        </w:rPr>
        <w:t>alaries should at a minimum be consistent with living wage criteria followed by other public employers in Alachua County.</w:t>
      </w:r>
    </w:p>
    <w:p w:rsidR="000D098D" w:rsidRPr="000D098D" w:rsidRDefault="00512F3C" w:rsidP="007B0AB7">
      <w:pPr>
        <w:pStyle w:val="ListParagraph"/>
        <w:numPr>
          <w:ilvl w:val="1"/>
          <w:numId w:val="1"/>
        </w:numPr>
        <w:rPr>
          <w:sz w:val="26"/>
          <w:szCs w:val="26"/>
        </w:rPr>
      </w:pPr>
      <w:r>
        <w:rPr>
          <w:color w:val="FF0000"/>
          <w:sz w:val="26"/>
          <w:szCs w:val="26"/>
        </w:rPr>
        <w:t>Raised full-time minimum salaries to $12/hour ($24,960 annually)</w:t>
      </w:r>
    </w:p>
    <w:p w:rsidR="00EC216E" w:rsidRPr="00BE1060" w:rsidRDefault="000D098D" w:rsidP="007B0AB7">
      <w:pPr>
        <w:pStyle w:val="ListParagraph"/>
        <w:numPr>
          <w:ilvl w:val="1"/>
          <w:numId w:val="1"/>
        </w:numPr>
        <w:rPr>
          <w:sz w:val="26"/>
          <w:szCs w:val="26"/>
        </w:rPr>
      </w:pPr>
      <w:r>
        <w:rPr>
          <w:color w:val="FF0000"/>
          <w:sz w:val="26"/>
          <w:szCs w:val="26"/>
        </w:rPr>
        <w:t>This impacted 20 positions (10 position titles)</w:t>
      </w:r>
    </w:p>
    <w:p w:rsidR="00BE1060" w:rsidRPr="00BE1060" w:rsidRDefault="00EC216E" w:rsidP="00870D8E">
      <w:pPr>
        <w:pStyle w:val="ListParagraph"/>
        <w:numPr>
          <w:ilvl w:val="0"/>
          <w:numId w:val="1"/>
        </w:numPr>
        <w:spacing w:after="160" w:line="259" w:lineRule="auto"/>
        <w:rPr>
          <w:sz w:val="26"/>
          <w:szCs w:val="26"/>
        </w:rPr>
      </w:pPr>
      <w:r w:rsidRPr="002C0677">
        <w:rPr>
          <w:sz w:val="26"/>
          <w:szCs w:val="26"/>
        </w:rPr>
        <w:t>Determine a plan to make all salaries at a minimum consistent with living wage criteria followed by other public employers in Alachua County while also ensuring that all areas are able to fund these positions accordingly.</w:t>
      </w:r>
    </w:p>
    <w:p w:rsidR="00870D8E" w:rsidRPr="000D098D" w:rsidRDefault="00BE1060" w:rsidP="00BE1060">
      <w:pPr>
        <w:pStyle w:val="ListParagraph"/>
        <w:numPr>
          <w:ilvl w:val="1"/>
          <w:numId w:val="1"/>
        </w:numPr>
        <w:spacing w:after="160" w:line="259" w:lineRule="auto"/>
        <w:rPr>
          <w:sz w:val="26"/>
          <w:szCs w:val="26"/>
        </w:rPr>
      </w:pPr>
      <w:r>
        <w:rPr>
          <w:color w:val="FF0000"/>
          <w:sz w:val="26"/>
          <w:szCs w:val="26"/>
        </w:rPr>
        <w:t>D</w:t>
      </w:r>
      <w:r w:rsidR="007D60E5">
        <w:rPr>
          <w:color w:val="FF0000"/>
          <w:sz w:val="26"/>
          <w:szCs w:val="26"/>
        </w:rPr>
        <w:t>iscussion of possible plans would be helpful</w:t>
      </w:r>
      <w:r w:rsidR="001D40B1">
        <w:rPr>
          <w:color w:val="FF0000"/>
          <w:sz w:val="26"/>
          <w:szCs w:val="26"/>
        </w:rPr>
        <w:t xml:space="preserve"> (</w:t>
      </w:r>
      <w:r w:rsidR="00BB2B41">
        <w:rPr>
          <w:color w:val="FF0000"/>
          <w:sz w:val="26"/>
          <w:szCs w:val="26"/>
        </w:rPr>
        <w:t xml:space="preserve">e.g. </w:t>
      </w:r>
      <w:r>
        <w:rPr>
          <w:color w:val="FF0000"/>
          <w:sz w:val="26"/>
          <w:szCs w:val="26"/>
        </w:rPr>
        <w:t xml:space="preserve">should we </w:t>
      </w:r>
      <w:r w:rsidR="00BB2B41">
        <w:rPr>
          <w:color w:val="FF0000"/>
          <w:sz w:val="26"/>
          <w:szCs w:val="26"/>
        </w:rPr>
        <w:t>decrease</w:t>
      </w:r>
      <w:r w:rsidR="001D40B1">
        <w:rPr>
          <w:color w:val="FF0000"/>
          <w:sz w:val="26"/>
          <w:szCs w:val="26"/>
        </w:rPr>
        <w:t xml:space="preserve"> part time hours in favor of higher fulltime</w:t>
      </w:r>
      <w:r w:rsidR="00BB2B41">
        <w:rPr>
          <w:color w:val="FF0000"/>
          <w:sz w:val="26"/>
          <w:szCs w:val="26"/>
        </w:rPr>
        <w:t xml:space="preserve"> wages</w:t>
      </w:r>
      <w:r>
        <w:rPr>
          <w:color w:val="FF0000"/>
          <w:sz w:val="26"/>
          <w:szCs w:val="26"/>
        </w:rPr>
        <w:t>? How do we take the finite pot of funds and reallocate?</w:t>
      </w:r>
      <w:r w:rsidR="001D40B1">
        <w:rPr>
          <w:color w:val="FF0000"/>
          <w:sz w:val="26"/>
          <w:szCs w:val="26"/>
        </w:rPr>
        <w:t>)</w:t>
      </w:r>
    </w:p>
    <w:p w:rsidR="000D098D" w:rsidRPr="000D098D" w:rsidRDefault="000D098D" w:rsidP="00BE1060">
      <w:pPr>
        <w:pStyle w:val="ListParagraph"/>
        <w:numPr>
          <w:ilvl w:val="1"/>
          <w:numId w:val="1"/>
        </w:numPr>
        <w:spacing w:after="160" w:line="259" w:lineRule="auto"/>
        <w:rPr>
          <w:sz w:val="26"/>
          <w:szCs w:val="26"/>
        </w:rPr>
      </w:pPr>
      <w:r>
        <w:rPr>
          <w:color w:val="FF0000"/>
          <w:sz w:val="26"/>
          <w:szCs w:val="26"/>
        </w:rPr>
        <w:t>Career Service and A&amp;P salary market study to be concluded in the fall</w:t>
      </w:r>
    </w:p>
    <w:p w:rsidR="00260C42" w:rsidRPr="00ED25F3" w:rsidRDefault="000D098D" w:rsidP="00ED25F3">
      <w:pPr>
        <w:pStyle w:val="ListParagraph"/>
        <w:numPr>
          <w:ilvl w:val="1"/>
          <w:numId w:val="1"/>
        </w:numPr>
        <w:spacing w:after="160" w:line="259" w:lineRule="auto"/>
        <w:rPr>
          <w:sz w:val="26"/>
          <w:szCs w:val="26"/>
        </w:rPr>
      </w:pPr>
      <w:r>
        <w:rPr>
          <w:color w:val="FF0000"/>
          <w:sz w:val="26"/>
          <w:szCs w:val="26"/>
        </w:rPr>
        <w:t>Faculty market study to be authorized</w:t>
      </w:r>
    </w:p>
    <w:p w:rsidR="00BE1060" w:rsidRDefault="00260C42" w:rsidP="00260C42">
      <w:pPr>
        <w:pStyle w:val="ListParagraph"/>
        <w:numPr>
          <w:ilvl w:val="0"/>
          <w:numId w:val="1"/>
        </w:numPr>
        <w:rPr>
          <w:sz w:val="26"/>
          <w:szCs w:val="26"/>
        </w:rPr>
      </w:pPr>
      <w:r>
        <w:rPr>
          <w:sz w:val="26"/>
          <w:szCs w:val="26"/>
        </w:rPr>
        <w:t>At minimum,</w:t>
      </w:r>
      <w:r w:rsidRPr="00260C42">
        <w:rPr>
          <w:sz w:val="26"/>
          <w:szCs w:val="26"/>
        </w:rPr>
        <w:t xml:space="preserve"> provide a cost of living salary adjustment for inflation or $1000 salary increase, whichever is greater, for all employees</w:t>
      </w:r>
    </w:p>
    <w:p w:rsidR="00260C42" w:rsidRPr="00ED25F3" w:rsidRDefault="00BB2B41" w:rsidP="00ED25F3">
      <w:pPr>
        <w:pStyle w:val="ListParagraph"/>
        <w:numPr>
          <w:ilvl w:val="1"/>
          <w:numId w:val="1"/>
        </w:numPr>
        <w:rPr>
          <w:sz w:val="26"/>
          <w:szCs w:val="26"/>
        </w:rPr>
      </w:pPr>
      <w:r>
        <w:rPr>
          <w:color w:val="FF0000"/>
          <w:sz w:val="26"/>
          <w:szCs w:val="26"/>
        </w:rPr>
        <w:t>Note:</w:t>
      </w:r>
      <w:r w:rsidR="000D098D">
        <w:rPr>
          <w:color w:val="FF0000"/>
          <w:sz w:val="26"/>
          <w:szCs w:val="26"/>
        </w:rPr>
        <w:t xml:space="preserve">appreciably </w:t>
      </w:r>
      <w:r w:rsidR="007D60E5">
        <w:rPr>
          <w:color w:val="FF0000"/>
          <w:sz w:val="26"/>
          <w:szCs w:val="26"/>
        </w:rPr>
        <w:t>no new recurring funds</w:t>
      </w:r>
      <w:r w:rsidR="001D40B1">
        <w:rPr>
          <w:color w:val="FF0000"/>
          <w:sz w:val="26"/>
          <w:szCs w:val="26"/>
        </w:rPr>
        <w:t>, cannot guarantee future increases (</w:t>
      </w:r>
      <w:r>
        <w:rPr>
          <w:color w:val="FF0000"/>
          <w:sz w:val="26"/>
          <w:szCs w:val="26"/>
        </w:rPr>
        <w:t xml:space="preserve">e.g. for 750 fulltime employees, we would need </w:t>
      </w:r>
      <w:r w:rsidR="001D40B1">
        <w:rPr>
          <w:color w:val="FF0000"/>
          <w:sz w:val="26"/>
          <w:szCs w:val="26"/>
        </w:rPr>
        <w:t>$750,000 recurring dol</w:t>
      </w:r>
      <w:r>
        <w:rPr>
          <w:color w:val="FF0000"/>
          <w:sz w:val="26"/>
          <w:szCs w:val="26"/>
        </w:rPr>
        <w:t>lars per year + FICA/retirement)</w:t>
      </w:r>
    </w:p>
    <w:p w:rsidR="00BE1060" w:rsidRDefault="00260C42" w:rsidP="00BC1F1F">
      <w:pPr>
        <w:pStyle w:val="ListParagraph"/>
        <w:numPr>
          <w:ilvl w:val="0"/>
          <w:numId w:val="1"/>
        </w:numPr>
        <w:rPr>
          <w:sz w:val="26"/>
          <w:szCs w:val="26"/>
        </w:rPr>
      </w:pPr>
      <w:r w:rsidRPr="00BC1F1F">
        <w:rPr>
          <w:sz w:val="26"/>
          <w:szCs w:val="26"/>
        </w:rPr>
        <w:t>In recognition of Santa Fe’s standing as the top college in the nation, increase SF salaries to a more competitive level within the comparable marketplace and in line with the top colleges in the nation.The college should continue to be committed to do everything they can do to maintain and improve where possible the competitiveness of the college’s rates of compensation for all employees.</w:t>
      </w:r>
    </w:p>
    <w:p w:rsidR="00BC1F1F" w:rsidRPr="00BE1060" w:rsidRDefault="00BE1060" w:rsidP="00BE1060">
      <w:pPr>
        <w:pStyle w:val="ListParagraph"/>
        <w:numPr>
          <w:ilvl w:val="1"/>
          <w:numId w:val="1"/>
        </w:numPr>
        <w:rPr>
          <w:sz w:val="26"/>
          <w:szCs w:val="26"/>
        </w:rPr>
      </w:pPr>
      <w:r>
        <w:rPr>
          <w:color w:val="FF0000"/>
          <w:sz w:val="26"/>
          <w:szCs w:val="26"/>
        </w:rPr>
        <w:t>R</w:t>
      </w:r>
      <w:r w:rsidR="007D60E5" w:rsidRPr="00BC1F1F">
        <w:rPr>
          <w:color w:val="FF0000"/>
          <w:sz w:val="26"/>
          <w:szCs w:val="26"/>
        </w:rPr>
        <w:t>ecommend complete pending equity</w:t>
      </w:r>
      <w:r w:rsidR="007558A8">
        <w:rPr>
          <w:color w:val="FF0000"/>
          <w:sz w:val="26"/>
          <w:szCs w:val="26"/>
        </w:rPr>
        <w:t>/market</w:t>
      </w:r>
      <w:r w:rsidR="007D60E5" w:rsidRPr="00BC1F1F">
        <w:rPr>
          <w:color w:val="FF0000"/>
          <w:sz w:val="26"/>
          <w:szCs w:val="26"/>
        </w:rPr>
        <w:t xml:space="preserve"> study for CS and A&amp;P</w:t>
      </w:r>
      <w:r w:rsidR="007558A8">
        <w:rPr>
          <w:color w:val="FF0000"/>
          <w:sz w:val="26"/>
          <w:szCs w:val="26"/>
        </w:rPr>
        <w:t xml:space="preserve"> – </w:t>
      </w:r>
      <w:r w:rsidR="00BC1F1F" w:rsidRPr="00BC1F1F">
        <w:rPr>
          <w:color w:val="FF0000"/>
          <w:sz w:val="26"/>
          <w:szCs w:val="26"/>
        </w:rPr>
        <w:t xml:space="preserve">status </w:t>
      </w:r>
      <w:r w:rsidR="007558A8">
        <w:rPr>
          <w:color w:val="FF0000"/>
          <w:sz w:val="26"/>
          <w:szCs w:val="26"/>
        </w:rPr>
        <w:t>updates forthcoming</w:t>
      </w:r>
    </w:p>
    <w:p w:rsidR="00BC1F1F" w:rsidRPr="00ED25F3" w:rsidRDefault="00BE1060" w:rsidP="00ED25F3">
      <w:pPr>
        <w:pStyle w:val="ListParagraph"/>
        <w:numPr>
          <w:ilvl w:val="1"/>
          <w:numId w:val="1"/>
        </w:numPr>
        <w:rPr>
          <w:sz w:val="26"/>
          <w:szCs w:val="26"/>
        </w:rPr>
      </w:pPr>
      <w:r>
        <w:rPr>
          <w:color w:val="FF0000"/>
          <w:sz w:val="26"/>
          <w:szCs w:val="26"/>
        </w:rPr>
        <w:t>Reminder regarding benefits packages (health insurance paid for each employee, 22 paid holidays, educational benefits/tuition waivers)</w:t>
      </w:r>
    </w:p>
    <w:p w:rsidR="00BE1060" w:rsidRDefault="003A7221" w:rsidP="00F1207C">
      <w:pPr>
        <w:pStyle w:val="ListParagraph"/>
        <w:numPr>
          <w:ilvl w:val="0"/>
          <w:numId w:val="1"/>
        </w:numPr>
        <w:rPr>
          <w:sz w:val="26"/>
          <w:szCs w:val="26"/>
        </w:rPr>
      </w:pPr>
      <w:r w:rsidRPr="00F1207C">
        <w:rPr>
          <w:sz w:val="26"/>
          <w:szCs w:val="26"/>
        </w:rPr>
        <w:t xml:space="preserve">Request an equity study of full and part-time faculty salaries </w:t>
      </w:r>
    </w:p>
    <w:p w:rsidR="00BC1F1F" w:rsidRPr="00ED25F3" w:rsidRDefault="00BE1060" w:rsidP="00ED25F3">
      <w:pPr>
        <w:pStyle w:val="ListParagraph"/>
        <w:numPr>
          <w:ilvl w:val="1"/>
          <w:numId w:val="1"/>
        </w:numPr>
        <w:rPr>
          <w:sz w:val="26"/>
          <w:szCs w:val="26"/>
        </w:rPr>
      </w:pPr>
      <w:r>
        <w:rPr>
          <w:color w:val="FF0000"/>
          <w:sz w:val="26"/>
          <w:szCs w:val="26"/>
        </w:rPr>
        <w:t>Agr</w:t>
      </w:r>
      <w:r w:rsidR="007D60E5">
        <w:rPr>
          <w:color w:val="FF0000"/>
          <w:sz w:val="26"/>
          <w:szCs w:val="26"/>
        </w:rPr>
        <w:t>eed</w:t>
      </w:r>
      <w:r>
        <w:rPr>
          <w:color w:val="FF0000"/>
          <w:sz w:val="26"/>
          <w:szCs w:val="26"/>
        </w:rPr>
        <w:t>– budget allocated for consultant for 2018-2019</w:t>
      </w:r>
    </w:p>
    <w:p w:rsidR="00870D8E" w:rsidRDefault="00870D8E" w:rsidP="00870D8E">
      <w:pPr>
        <w:pStyle w:val="ListParagraph"/>
        <w:numPr>
          <w:ilvl w:val="0"/>
          <w:numId w:val="1"/>
        </w:numPr>
        <w:rPr>
          <w:sz w:val="26"/>
          <w:szCs w:val="26"/>
        </w:rPr>
      </w:pPr>
      <w:r w:rsidRPr="00870D8E">
        <w:rPr>
          <w:sz w:val="26"/>
          <w:szCs w:val="26"/>
        </w:rPr>
        <w:t>Make the following adjustments to our current step system:</w:t>
      </w:r>
    </w:p>
    <w:p w:rsidR="00BC1F1F" w:rsidRDefault="00BC1F1F" w:rsidP="00BC1F1F">
      <w:pPr>
        <w:pStyle w:val="ListParagraph"/>
        <w:rPr>
          <w:sz w:val="26"/>
          <w:szCs w:val="26"/>
        </w:rPr>
      </w:pPr>
      <w:r>
        <w:rPr>
          <w:color w:val="FF0000"/>
          <w:sz w:val="26"/>
          <w:szCs w:val="26"/>
        </w:rPr>
        <w:t xml:space="preserve">First step:  acquire evidence that current step system is not working for CS, A&amp;P, or faculty – HR has begun to keep records but so far very limited data </w:t>
      </w:r>
    </w:p>
    <w:p w:rsidR="00BE1060" w:rsidRDefault="00870D8E" w:rsidP="00870D8E">
      <w:pPr>
        <w:pStyle w:val="ListParagraph"/>
        <w:numPr>
          <w:ilvl w:val="1"/>
          <w:numId w:val="1"/>
        </w:numPr>
        <w:rPr>
          <w:sz w:val="26"/>
          <w:szCs w:val="26"/>
        </w:rPr>
      </w:pPr>
      <w:r w:rsidRPr="00870D8E">
        <w:rPr>
          <w:sz w:val="26"/>
          <w:szCs w:val="26"/>
        </w:rPr>
        <w:lastRenderedPageBreak/>
        <w:t>Accept appropriate “industry” experience for all positions</w:t>
      </w:r>
    </w:p>
    <w:p w:rsidR="00870D8E" w:rsidRPr="00BE1060" w:rsidRDefault="000D098D" w:rsidP="00BE1060">
      <w:pPr>
        <w:pStyle w:val="ListParagraph"/>
        <w:numPr>
          <w:ilvl w:val="2"/>
          <w:numId w:val="1"/>
        </w:numPr>
        <w:rPr>
          <w:color w:val="FF0000"/>
          <w:sz w:val="26"/>
          <w:szCs w:val="26"/>
        </w:rPr>
      </w:pPr>
      <w:r>
        <w:rPr>
          <w:color w:val="FF0000"/>
          <w:sz w:val="26"/>
          <w:szCs w:val="26"/>
        </w:rPr>
        <w:t xml:space="preserve">Under review for further discussion -- </w:t>
      </w:r>
      <w:r w:rsidR="00BE1060" w:rsidRPr="00BE1060">
        <w:rPr>
          <w:color w:val="FF0000"/>
          <w:sz w:val="26"/>
          <w:szCs w:val="26"/>
        </w:rPr>
        <w:t>which industry experience should be acknowledged and how to honor existing employees who did not get such credit</w:t>
      </w:r>
      <w:r>
        <w:rPr>
          <w:color w:val="FF0000"/>
          <w:sz w:val="26"/>
          <w:szCs w:val="26"/>
        </w:rPr>
        <w:t xml:space="preserve"> when they began employment</w:t>
      </w:r>
    </w:p>
    <w:p w:rsidR="00BE1060" w:rsidRDefault="00870D8E" w:rsidP="00974169">
      <w:pPr>
        <w:pStyle w:val="ListParagraph"/>
        <w:numPr>
          <w:ilvl w:val="1"/>
          <w:numId w:val="1"/>
        </w:numPr>
        <w:rPr>
          <w:sz w:val="26"/>
          <w:szCs w:val="26"/>
        </w:rPr>
      </w:pPr>
      <w:r w:rsidRPr="00870D8E">
        <w:rPr>
          <w:sz w:val="26"/>
          <w:szCs w:val="26"/>
        </w:rPr>
        <w:t>Allow for partial steps for all positions</w:t>
      </w:r>
    </w:p>
    <w:p w:rsidR="00974169" w:rsidRPr="00BE1060" w:rsidRDefault="000D098D" w:rsidP="00BE1060">
      <w:pPr>
        <w:pStyle w:val="ListParagraph"/>
        <w:numPr>
          <w:ilvl w:val="2"/>
          <w:numId w:val="1"/>
        </w:numPr>
        <w:rPr>
          <w:color w:val="FF0000"/>
          <w:sz w:val="26"/>
          <w:szCs w:val="26"/>
        </w:rPr>
      </w:pPr>
      <w:r>
        <w:rPr>
          <w:color w:val="FF0000"/>
          <w:sz w:val="26"/>
          <w:szCs w:val="26"/>
        </w:rPr>
        <w:t>Under review for further d</w:t>
      </w:r>
      <w:r w:rsidR="00557B4D">
        <w:rPr>
          <w:color w:val="FF0000"/>
          <w:sz w:val="26"/>
          <w:szCs w:val="26"/>
        </w:rPr>
        <w:t>iscussion regarding</w:t>
      </w:r>
      <w:r w:rsidR="00BE1060" w:rsidRPr="00BE1060">
        <w:rPr>
          <w:color w:val="FF0000"/>
          <w:sz w:val="26"/>
          <w:szCs w:val="26"/>
        </w:rPr>
        <w:t>how to honor existing employees who did not get such credit</w:t>
      </w:r>
    </w:p>
    <w:p w:rsidR="00B715D8" w:rsidRPr="00B715D8" w:rsidRDefault="00813EB2" w:rsidP="00AD05E9">
      <w:pPr>
        <w:pStyle w:val="ListParagraph"/>
        <w:numPr>
          <w:ilvl w:val="1"/>
          <w:numId w:val="1"/>
        </w:numPr>
        <w:rPr>
          <w:sz w:val="26"/>
          <w:szCs w:val="26"/>
        </w:rPr>
      </w:pPr>
      <w:r w:rsidRPr="00B715D8">
        <w:rPr>
          <w:sz w:val="26"/>
          <w:szCs w:val="26"/>
        </w:rPr>
        <w:t>For faculty, c</w:t>
      </w:r>
      <w:r w:rsidR="00870D8E" w:rsidRPr="00B715D8">
        <w:rPr>
          <w:sz w:val="26"/>
          <w:szCs w:val="26"/>
        </w:rPr>
        <w:t>hange the number of hours allowed for part-time adjunct work from 72 hours to 6o hours to match our current two-term contract</w:t>
      </w:r>
      <w:r w:rsidR="00B715D8">
        <w:rPr>
          <w:color w:val="FF0000"/>
          <w:sz w:val="26"/>
          <w:szCs w:val="26"/>
        </w:rPr>
        <w:t>–</w:t>
      </w:r>
    </w:p>
    <w:p w:rsidR="00974169" w:rsidRPr="00ED25F3" w:rsidRDefault="00974169" w:rsidP="00ED25F3">
      <w:pPr>
        <w:pStyle w:val="ListParagraph"/>
        <w:numPr>
          <w:ilvl w:val="2"/>
          <w:numId w:val="1"/>
        </w:numPr>
        <w:rPr>
          <w:color w:val="FF0000"/>
          <w:sz w:val="26"/>
          <w:szCs w:val="26"/>
        </w:rPr>
      </w:pPr>
      <w:r w:rsidRPr="000D098D">
        <w:rPr>
          <w:rFonts w:eastAsia="Times New Roman"/>
          <w:color w:val="FF0000"/>
        </w:rPr>
        <w:t xml:space="preserve">The original premise was </w:t>
      </w:r>
      <w:r w:rsidR="000D098D">
        <w:rPr>
          <w:rFonts w:eastAsia="Times New Roman"/>
          <w:color w:val="FF0000"/>
        </w:rPr>
        <w:t xml:space="preserve">that </w:t>
      </w:r>
      <w:r w:rsidRPr="000D098D">
        <w:rPr>
          <w:rFonts w:eastAsia="Times New Roman"/>
          <w:color w:val="FF0000"/>
        </w:rPr>
        <w:t xml:space="preserve">adjunct teaching at SF would be worth a step based on the </w:t>
      </w:r>
      <w:r w:rsidR="000D098D" w:rsidRPr="000D098D">
        <w:rPr>
          <w:rFonts w:eastAsia="Times New Roman"/>
          <w:color w:val="FF0000"/>
        </w:rPr>
        <w:t xml:space="preserve">equivalent of two years of full-time instruction; </w:t>
      </w:r>
      <w:r w:rsidRPr="000D098D">
        <w:rPr>
          <w:rFonts w:eastAsia="Times New Roman"/>
          <w:color w:val="FF0000"/>
        </w:rPr>
        <w:t>at</w:t>
      </w:r>
      <w:r w:rsidR="000D098D" w:rsidRPr="000D098D">
        <w:rPr>
          <w:rFonts w:eastAsia="Times New Roman"/>
          <w:color w:val="FF0000"/>
        </w:rPr>
        <w:t xml:space="preserve"> the time we had a 36 hour full-</w:t>
      </w:r>
      <w:r w:rsidRPr="000D098D">
        <w:rPr>
          <w:rFonts w:eastAsia="Times New Roman"/>
          <w:color w:val="FF0000"/>
        </w:rPr>
        <w:t xml:space="preserve">time contract. We have had </w:t>
      </w:r>
      <w:r w:rsidR="00E71400">
        <w:rPr>
          <w:rFonts w:eastAsia="Times New Roman"/>
          <w:color w:val="FF0000"/>
        </w:rPr>
        <w:t xml:space="preserve">a 30 credit hour contract </w:t>
      </w:r>
      <w:r w:rsidRPr="000D098D">
        <w:rPr>
          <w:rFonts w:eastAsia="Times New Roman"/>
          <w:color w:val="FF0000"/>
        </w:rPr>
        <w:t>for more than 10</w:t>
      </w:r>
      <w:r w:rsidR="000D098D" w:rsidRPr="000D098D">
        <w:rPr>
          <w:rFonts w:eastAsia="Times New Roman"/>
          <w:color w:val="FF0000"/>
        </w:rPr>
        <w:t xml:space="preserve"> years now. C</w:t>
      </w:r>
      <w:r w:rsidRPr="000D098D">
        <w:rPr>
          <w:rFonts w:eastAsia="Times New Roman"/>
          <w:color w:val="FF0000"/>
        </w:rPr>
        <w:t>hanging it now would have a dispara</w:t>
      </w:r>
      <w:r w:rsidR="00E71400">
        <w:rPr>
          <w:rFonts w:eastAsia="Times New Roman"/>
          <w:color w:val="FF0000"/>
        </w:rPr>
        <w:t>te impact on current full-time faculty</w:t>
      </w:r>
      <w:r w:rsidRPr="000D098D">
        <w:rPr>
          <w:rFonts w:eastAsia="Times New Roman"/>
          <w:color w:val="FF0000"/>
        </w:rPr>
        <w:t xml:space="preserve"> who were prior adjuncts and were not given an equal amount of steps for their prior experience. </w:t>
      </w:r>
      <w:r w:rsidR="000D098D" w:rsidRPr="000D098D">
        <w:rPr>
          <w:rFonts w:eastAsia="Times New Roman"/>
          <w:color w:val="FF0000"/>
        </w:rPr>
        <w:t>College l</w:t>
      </w:r>
      <w:r w:rsidR="00B715D8" w:rsidRPr="000D098D">
        <w:rPr>
          <w:rFonts w:eastAsia="Times New Roman"/>
          <w:color w:val="FF0000"/>
        </w:rPr>
        <w:t xml:space="preserve">eadership recommended that we </w:t>
      </w:r>
      <w:r w:rsidR="000D098D" w:rsidRPr="000D098D">
        <w:rPr>
          <w:rFonts w:eastAsia="Times New Roman"/>
          <w:color w:val="FF0000"/>
        </w:rPr>
        <w:t>agree to request that</w:t>
      </w:r>
      <w:r w:rsidR="00B715D8" w:rsidRPr="000D098D">
        <w:rPr>
          <w:rFonts w:eastAsia="Times New Roman"/>
          <w:color w:val="FF0000"/>
        </w:rPr>
        <w:t xml:space="preserve"> HR do</w:t>
      </w:r>
      <w:r w:rsidRPr="000D098D">
        <w:rPr>
          <w:rFonts w:eastAsia="Times New Roman"/>
          <w:color w:val="FF0000"/>
        </w:rPr>
        <w:t xml:space="preserve"> a manual study of each person hired since that time to determine the cost</w:t>
      </w:r>
      <w:r w:rsidR="00B715D8" w:rsidRPr="000D098D">
        <w:rPr>
          <w:rFonts w:eastAsia="Times New Roman"/>
          <w:color w:val="FF0000"/>
        </w:rPr>
        <w:t xml:space="preserve"> in conjunction with </w:t>
      </w:r>
      <w:r w:rsidR="00B715D8" w:rsidRPr="000D098D">
        <w:rPr>
          <w:color w:val="FF0000"/>
        </w:rPr>
        <w:t>a faculty salary market study</w:t>
      </w:r>
      <w:r w:rsidR="000D098D" w:rsidRPr="000D098D">
        <w:rPr>
          <w:rFonts w:eastAsia="Times New Roman"/>
          <w:color w:val="FF0000"/>
        </w:rPr>
        <w:t>;</w:t>
      </w:r>
      <w:r w:rsidRPr="000D098D">
        <w:rPr>
          <w:rFonts w:eastAsia="Times New Roman"/>
          <w:color w:val="FF0000"/>
        </w:rPr>
        <w:t xml:space="preserve"> this</w:t>
      </w:r>
      <w:r w:rsidR="000D098D" w:rsidRPr="000D098D">
        <w:rPr>
          <w:rFonts w:eastAsia="Times New Roman"/>
          <w:color w:val="FF0000"/>
        </w:rPr>
        <w:t xml:space="preserve"> will allow us to consider the cost of giving </w:t>
      </w:r>
      <w:r w:rsidRPr="000D098D">
        <w:rPr>
          <w:rFonts w:eastAsia="Times New Roman"/>
          <w:color w:val="FF0000"/>
        </w:rPr>
        <w:t xml:space="preserve">retroactive </w:t>
      </w:r>
      <w:r w:rsidR="000D098D" w:rsidRPr="000D098D">
        <w:rPr>
          <w:rFonts w:eastAsia="Times New Roman"/>
          <w:color w:val="FF0000"/>
        </w:rPr>
        <w:t xml:space="preserve">credit from </w:t>
      </w:r>
      <w:r w:rsidRPr="000D098D">
        <w:rPr>
          <w:rFonts w:eastAsia="Times New Roman"/>
          <w:color w:val="FF0000"/>
        </w:rPr>
        <w:t xml:space="preserve">the time we changed to a 30 credit hour contract. </w:t>
      </w:r>
      <w:r w:rsidR="000D098D" w:rsidRPr="000D098D">
        <w:rPr>
          <w:rFonts w:eastAsia="Times New Roman"/>
          <w:color w:val="FF0000"/>
        </w:rPr>
        <w:t xml:space="preserve">The manual study would not begin prior to Spring 2019.  </w:t>
      </w:r>
      <w:r w:rsidRPr="000D098D">
        <w:rPr>
          <w:rFonts w:eastAsia="Times New Roman"/>
          <w:color w:val="FF0000"/>
        </w:rPr>
        <w:t xml:space="preserve">Note: We are not </w:t>
      </w:r>
      <w:r w:rsidR="000D098D" w:rsidRPr="000D098D">
        <w:rPr>
          <w:rFonts w:eastAsia="Times New Roman"/>
          <w:color w:val="FF0000"/>
        </w:rPr>
        <w:t xml:space="preserve">currently </w:t>
      </w:r>
      <w:r w:rsidRPr="000D098D">
        <w:rPr>
          <w:rFonts w:eastAsia="Times New Roman"/>
          <w:color w:val="FF0000"/>
        </w:rPr>
        <w:t xml:space="preserve">having any trouble recruiting our own adjuncts so more discussion is </w:t>
      </w:r>
      <w:r w:rsidR="00EF4CBC">
        <w:rPr>
          <w:rFonts w:eastAsia="Times New Roman"/>
          <w:color w:val="FF0000"/>
        </w:rPr>
        <w:t>recommended</w:t>
      </w:r>
      <w:r w:rsidRPr="000D098D">
        <w:rPr>
          <w:rFonts w:eastAsia="Times New Roman"/>
          <w:color w:val="FF0000"/>
        </w:rPr>
        <w:t>.</w:t>
      </w:r>
    </w:p>
    <w:p w:rsidR="00B715D8" w:rsidRDefault="00813EB2" w:rsidP="00B715D8">
      <w:pPr>
        <w:pStyle w:val="ListParagraph"/>
        <w:numPr>
          <w:ilvl w:val="1"/>
          <w:numId w:val="1"/>
        </w:numPr>
        <w:rPr>
          <w:sz w:val="26"/>
          <w:szCs w:val="26"/>
        </w:rPr>
      </w:pPr>
      <w:r w:rsidRPr="00974169">
        <w:rPr>
          <w:sz w:val="26"/>
          <w:szCs w:val="26"/>
        </w:rPr>
        <w:t>For faculty, a</w:t>
      </w:r>
      <w:r w:rsidR="00870D8E" w:rsidRPr="00974169">
        <w:rPr>
          <w:sz w:val="26"/>
          <w:szCs w:val="26"/>
        </w:rPr>
        <w:t>ccept adjunct experience from other higher educational institutions accredited by one of the major regional accrediting agencies</w:t>
      </w:r>
      <w:r w:rsidR="00C017E7" w:rsidRPr="00974169">
        <w:rPr>
          <w:sz w:val="26"/>
          <w:szCs w:val="26"/>
        </w:rPr>
        <w:t>.</w:t>
      </w:r>
    </w:p>
    <w:p w:rsidR="00EC216E" w:rsidRPr="00B715D8" w:rsidRDefault="00BC1F1F" w:rsidP="00B715D8">
      <w:pPr>
        <w:pStyle w:val="ListParagraph"/>
        <w:numPr>
          <w:ilvl w:val="2"/>
          <w:numId w:val="1"/>
        </w:numPr>
        <w:rPr>
          <w:sz w:val="26"/>
          <w:szCs w:val="26"/>
        </w:rPr>
      </w:pPr>
      <w:r w:rsidRPr="00B715D8">
        <w:rPr>
          <w:color w:val="FF0000"/>
          <w:sz w:val="26"/>
          <w:szCs w:val="26"/>
        </w:rPr>
        <w:t xml:space="preserve">We </w:t>
      </w:r>
      <w:bookmarkStart w:id="0" w:name="_GoBack"/>
      <w:bookmarkEnd w:id="0"/>
      <w:r w:rsidRPr="00B715D8">
        <w:rPr>
          <w:color w:val="FF0000"/>
          <w:sz w:val="26"/>
          <w:szCs w:val="26"/>
        </w:rPr>
        <w:t xml:space="preserve">need </w:t>
      </w:r>
      <w:r w:rsidR="00E71400">
        <w:rPr>
          <w:color w:val="FF0000"/>
          <w:sz w:val="26"/>
          <w:szCs w:val="26"/>
        </w:rPr>
        <w:t>clarification</w:t>
      </w:r>
      <w:r w:rsidRPr="00B715D8">
        <w:rPr>
          <w:color w:val="FF0000"/>
          <w:sz w:val="26"/>
          <w:szCs w:val="26"/>
        </w:rPr>
        <w:t xml:space="preserve"> of “major regional accrediting agencies.”</w:t>
      </w:r>
    </w:p>
    <w:p w:rsidR="00B715D8" w:rsidRDefault="00813EB2" w:rsidP="007D60E5">
      <w:pPr>
        <w:pStyle w:val="ListParagraph"/>
        <w:numPr>
          <w:ilvl w:val="1"/>
          <w:numId w:val="1"/>
        </w:numPr>
        <w:rPr>
          <w:sz w:val="26"/>
          <w:szCs w:val="26"/>
        </w:rPr>
      </w:pPr>
      <w:r>
        <w:rPr>
          <w:sz w:val="26"/>
          <w:szCs w:val="26"/>
        </w:rPr>
        <w:t xml:space="preserve">Adjust salaries of existing personnel based on the implementation of new step criteria following an impact study. </w:t>
      </w:r>
    </w:p>
    <w:p w:rsidR="00870D8E" w:rsidRPr="00E71400" w:rsidRDefault="007D60E5" w:rsidP="00A03113">
      <w:pPr>
        <w:pStyle w:val="ListParagraph"/>
        <w:numPr>
          <w:ilvl w:val="2"/>
          <w:numId w:val="1"/>
        </w:numPr>
        <w:rPr>
          <w:sz w:val="26"/>
          <w:szCs w:val="26"/>
        </w:rPr>
      </w:pPr>
      <w:r w:rsidRPr="00656513">
        <w:rPr>
          <w:color w:val="FF0000"/>
          <w:sz w:val="26"/>
          <w:szCs w:val="26"/>
        </w:rPr>
        <w:t xml:space="preserve">Anticipate </w:t>
      </w:r>
      <w:r w:rsidR="00BC1F1F" w:rsidRPr="00656513">
        <w:rPr>
          <w:color w:val="FF0000"/>
          <w:sz w:val="26"/>
          <w:szCs w:val="26"/>
        </w:rPr>
        <w:t>impact study</w:t>
      </w:r>
      <w:r w:rsidRPr="00656513">
        <w:rPr>
          <w:color w:val="FF0000"/>
          <w:sz w:val="26"/>
          <w:szCs w:val="26"/>
        </w:rPr>
        <w:t xml:space="preserve"> would take at least one</w:t>
      </w:r>
      <w:r w:rsidR="00BC1F1F" w:rsidRPr="00656513">
        <w:rPr>
          <w:color w:val="FF0000"/>
          <w:sz w:val="26"/>
          <w:szCs w:val="26"/>
        </w:rPr>
        <w:t xml:space="preserve"> to </w:t>
      </w:r>
      <w:r w:rsidRPr="00656513">
        <w:rPr>
          <w:color w:val="FF0000"/>
          <w:sz w:val="26"/>
          <w:szCs w:val="26"/>
        </w:rPr>
        <w:t xml:space="preserve">two years to research </w:t>
      </w:r>
      <w:r w:rsidR="00BC1F1F" w:rsidRPr="00656513">
        <w:rPr>
          <w:color w:val="FF0000"/>
          <w:sz w:val="26"/>
          <w:szCs w:val="26"/>
        </w:rPr>
        <w:t xml:space="preserve">internally (much of it would be manually pulling files to gather data) </w:t>
      </w:r>
    </w:p>
    <w:p w:rsidR="00656513" w:rsidRDefault="00870D8E" w:rsidP="00813EB2">
      <w:pPr>
        <w:pStyle w:val="ListParagraph"/>
        <w:numPr>
          <w:ilvl w:val="0"/>
          <w:numId w:val="1"/>
        </w:numPr>
        <w:rPr>
          <w:sz w:val="26"/>
          <w:szCs w:val="26"/>
        </w:rPr>
      </w:pPr>
      <w:r w:rsidRPr="000B43B6">
        <w:rPr>
          <w:sz w:val="26"/>
          <w:szCs w:val="26"/>
        </w:rPr>
        <w:t>Maintain continuing contract or annual contract leading to continuing contractas the primary method of full-time employment for faculty</w:t>
      </w:r>
      <w:r w:rsidR="00C017E7">
        <w:rPr>
          <w:sz w:val="26"/>
          <w:szCs w:val="26"/>
        </w:rPr>
        <w:t>.</w:t>
      </w:r>
    </w:p>
    <w:p w:rsidR="00BC1F1F" w:rsidRPr="00FA2495" w:rsidRDefault="00656513" w:rsidP="00D0652F">
      <w:pPr>
        <w:pStyle w:val="ListParagraph"/>
        <w:numPr>
          <w:ilvl w:val="1"/>
          <w:numId w:val="1"/>
        </w:numPr>
        <w:rPr>
          <w:sz w:val="26"/>
          <w:szCs w:val="26"/>
        </w:rPr>
      </w:pPr>
      <w:r w:rsidRPr="00FA2495">
        <w:rPr>
          <w:color w:val="FF0000"/>
          <w:sz w:val="26"/>
          <w:szCs w:val="26"/>
        </w:rPr>
        <w:t>A</w:t>
      </w:r>
      <w:r w:rsidR="00552D03" w:rsidRPr="00FA2495">
        <w:rPr>
          <w:color w:val="FF0000"/>
          <w:sz w:val="26"/>
          <w:szCs w:val="26"/>
        </w:rPr>
        <w:t>greed</w:t>
      </w:r>
    </w:p>
    <w:p w:rsidR="00656513" w:rsidRDefault="00297C4C" w:rsidP="002C0677">
      <w:pPr>
        <w:pStyle w:val="ListParagraph"/>
        <w:numPr>
          <w:ilvl w:val="0"/>
          <w:numId w:val="1"/>
        </w:numPr>
        <w:spacing w:after="160" w:line="259" w:lineRule="auto"/>
        <w:rPr>
          <w:sz w:val="26"/>
          <w:szCs w:val="26"/>
        </w:rPr>
      </w:pPr>
      <w:r>
        <w:rPr>
          <w:sz w:val="26"/>
          <w:szCs w:val="26"/>
        </w:rPr>
        <w:t xml:space="preserve">Starting from the current credit and contact hour </w:t>
      </w:r>
      <w:r w:rsidR="002C0677" w:rsidRPr="002C0677">
        <w:rPr>
          <w:sz w:val="26"/>
          <w:szCs w:val="26"/>
        </w:rPr>
        <w:t>adjunct rate of pay</w:t>
      </w:r>
      <w:r>
        <w:rPr>
          <w:sz w:val="26"/>
          <w:szCs w:val="26"/>
        </w:rPr>
        <w:t xml:space="preserve">, create a tiered system of three adjunct pay rates that </w:t>
      </w:r>
      <w:r w:rsidR="002C0677" w:rsidRPr="002C0677">
        <w:rPr>
          <w:sz w:val="26"/>
          <w:szCs w:val="26"/>
        </w:rPr>
        <w:t>correspond to the three titles in place for adjunct faculty based on experience.  Each level should pay at least 5% more than the preceding rate.  Faculty overloads should also receive the matching adjunct rate of pay based on matching title</w:t>
      </w:r>
    </w:p>
    <w:p w:rsidR="00B62C70" w:rsidRPr="00ED25F3" w:rsidRDefault="00FA2495" w:rsidP="00ED25F3">
      <w:pPr>
        <w:pStyle w:val="ListParagraph"/>
        <w:numPr>
          <w:ilvl w:val="1"/>
          <w:numId w:val="1"/>
        </w:numPr>
        <w:spacing w:after="160" w:line="259" w:lineRule="auto"/>
        <w:rPr>
          <w:sz w:val="26"/>
          <w:szCs w:val="26"/>
        </w:rPr>
      </w:pPr>
      <w:r>
        <w:rPr>
          <w:color w:val="FF0000"/>
          <w:sz w:val="26"/>
          <w:szCs w:val="26"/>
        </w:rPr>
        <w:lastRenderedPageBreak/>
        <w:t>W</w:t>
      </w:r>
      <w:r w:rsidR="00656513">
        <w:rPr>
          <w:color w:val="FF0000"/>
          <w:sz w:val="26"/>
          <w:szCs w:val="26"/>
        </w:rPr>
        <w:t>e need more philosophical discussion on this point; would</w:t>
      </w:r>
      <w:r w:rsidR="00552D03">
        <w:rPr>
          <w:color w:val="FF0000"/>
          <w:sz w:val="26"/>
          <w:szCs w:val="26"/>
        </w:rPr>
        <w:t xml:space="preserve"> need economic impact report regarding existing adjuncts</w:t>
      </w:r>
      <w:r>
        <w:rPr>
          <w:color w:val="FF0000"/>
          <w:sz w:val="26"/>
          <w:szCs w:val="26"/>
        </w:rPr>
        <w:t xml:space="preserve"> and</w:t>
      </w:r>
      <w:r w:rsidR="00552D03">
        <w:rPr>
          <w:color w:val="FF0000"/>
          <w:sz w:val="26"/>
          <w:szCs w:val="26"/>
        </w:rPr>
        <w:t xml:space="preserve"> estimat</w:t>
      </w:r>
      <w:r>
        <w:rPr>
          <w:color w:val="FF0000"/>
          <w:sz w:val="26"/>
          <w:szCs w:val="26"/>
        </w:rPr>
        <w:t xml:space="preserve">ion of </w:t>
      </w:r>
      <w:r w:rsidR="00552D03">
        <w:rPr>
          <w:color w:val="FF0000"/>
          <w:sz w:val="26"/>
          <w:szCs w:val="26"/>
        </w:rPr>
        <w:t>IT p</w:t>
      </w:r>
      <w:r w:rsidR="00276087">
        <w:rPr>
          <w:color w:val="FF0000"/>
          <w:sz w:val="26"/>
          <w:szCs w:val="26"/>
        </w:rPr>
        <w:t>rogramming time and feasibility</w:t>
      </w:r>
      <w:r w:rsidR="00656513">
        <w:rPr>
          <w:color w:val="FF0000"/>
          <w:sz w:val="26"/>
          <w:szCs w:val="26"/>
        </w:rPr>
        <w:t>; some alternatives should also be considered before movin</w:t>
      </w:r>
      <w:r>
        <w:rPr>
          <w:color w:val="FF0000"/>
          <w:sz w:val="26"/>
          <w:szCs w:val="26"/>
        </w:rPr>
        <w:t>g</w:t>
      </w:r>
      <w:r w:rsidR="00656513">
        <w:rPr>
          <w:color w:val="FF0000"/>
          <w:sz w:val="26"/>
          <w:szCs w:val="26"/>
        </w:rPr>
        <w:t xml:space="preserve"> forward with study</w:t>
      </w:r>
    </w:p>
    <w:p w:rsidR="00656513" w:rsidRDefault="00DD7FAF" w:rsidP="00297C4C">
      <w:pPr>
        <w:pStyle w:val="ListParagraph"/>
        <w:numPr>
          <w:ilvl w:val="0"/>
          <w:numId w:val="1"/>
        </w:numPr>
        <w:spacing w:after="160" w:line="259" w:lineRule="auto"/>
        <w:rPr>
          <w:sz w:val="26"/>
          <w:szCs w:val="26"/>
        </w:rPr>
      </w:pPr>
      <w:r w:rsidRPr="000B43B6">
        <w:rPr>
          <w:sz w:val="26"/>
          <w:szCs w:val="26"/>
        </w:rPr>
        <w:t>Make p</w:t>
      </w:r>
      <w:r w:rsidR="002B647E" w:rsidRPr="000B43B6">
        <w:rPr>
          <w:sz w:val="26"/>
          <w:szCs w:val="26"/>
        </w:rPr>
        <w:t>art-time employees</w:t>
      </w:r>
      <w:r w:rsidR="00C87A96" w:rsidRPr="000B43B6">
        <w:rPr>
          <w:sz w:val="26"/>
          <w:szCs w:val="26"/>
        </w:rPr>
        <w:t>, including TempForce,</w:t>
      </w:r>
      <w:r w:rsidR="002B647E" w:rsidRPr="000B43B6">
        <w:rPr>
          <w:sz w:val="26"/>
          <w:szCs w:val="26"/>
        </w:rPr>
        <w:t xml:space="preserve"> eligible for the general annual increase</w:t>
      </w:r>
      <w:r w:rsidR="00297C4C" w:rsidRPr="002C0677">
        <w:rPr>
          <w:sz w:val="26"/>
          <w:szCs w:val="26"/>
        </w:rPr>
        <w:t>ensuring that all areas are able to fund these positions accordingly.</w:t>
      </w:r>
    </w:p>
    <w:p w:rsidR="00870D8E" w:rsidRPr="00FA2495" w:rsidRDefault="00FA2495" w:rsidP="005E3590">
      <w:pPr>
        <w:pStyle w:val="ListParagraph"/>
        <w:numPr>
          <w:ilvl w:val="1"/>
          <w:numId w:val="1"/>
        </w:numPr>
        <w:spacing w:after="160" w:line="259" w:lineRule="auto"/>
        <w:rPr>
          <w:sz w:val="26"/>
          <w:szCs w:val="26"/>
        </w:rPr>
      </w:pPr>
      <w:r>
        <w:rPr>
          <w:color w:val="FF0000"/>
          <w:sz w:val="26"/>
          <w:szCs w:val="26"/>
        </w:rPr>
        <w:t>Currently under review - t</w:t>
      </w:r>
      <w:r w:rsidR="00552D03" w:rsidRPr="00FA2495">
        <w:rPr>
          <w:color w:val="FF0000"/>
          <w:sz w:val="26"/>
          <w:szCs w:val="26"/>
        </w:rPr>
        <w:t xml:space="preserve">hese funds come from </w:t>
      </w:r>
      <w:r>
        <w:rPr>
          <w:color w:val="FF0000"/>
          <w:sz w:val="26"/>
          <w:szCs w:val="26"/>
        </w:rPr>
        <w:t>non</w:t>
      </w:r>
      <w:r w:rsidRPr="00FA2495">
        <w:rPr>
          <w:color w:val="FF0000"/>
          <w:sz w:val="26"/>
          <w:szCs w:val="26"/>
        </w:rPr>
        <w:t xml:space="preserve">recurring </w:t>
      </w:r>
      <w:r w:rsidR="00552D03" w:rsidRPr="00FA2495">
        <w:rPr>
          <w:color w:val="FF0000"/>
          <w:sz w:val="26"/>
          <w:szCs w:val="26"/>
        </w:rPr>
        <w:t>current expense and are usually managed at department level</w:t>
      </w:r>
      <w:r w:rsidR="00656513" w:rsidRPr="00FA2495">
        <w:rPr>
          <w:color w:val="FF0000"/>
          <w:sz w:val="26"/>
          <w:szCs w:val="26"/>
        </w:rPr>
        <w:t xml:space="preserve">.  </w:t>
      </w:r>
    </w:p>
    <w:p w:rsidR="00656513" w:rsidRDefault="00260C42" w:rsidP="00870D8E">
      <w:pPr>
        <w:pStyle w:val="ListParagraph"/>
        <w:numPr>
          <w:ilvl w:val="0"/>
          <w:numId w:val="1"/>
        </w:numPr>
        <w:spacing w:after="160" w:line="259" w:lineRule="auto"/>
        <w:rPr>
          <w:sz w:val="26"/>
          <w:szCs w:val="26"/>
        </w:rPr>
      </w:pPr>
      <w:r>
        <w:rPr>
          <w:sz w:val="26"/>
          <w:szCs w:val="26"/>
        </w:rPr>
        <w:t xml:space="preserve">For non-faculty employees, </w:t>
      </w:r>
      <w:r w:rsidR="00870D8E" w:rsidRPr="00870D8E">
        <w:rPr>
          <w:sz w:val="26"/>
          <w:szCs w:val="26"/>
        </w:rPr>
        <w:t>additional certificates and degrees applicable to the employee’s position yet above and beyond what is listed as a requirement for that position should earn the employee an increase in salary.</w:t>
      </w:r>
    </w:p>
    <w:p w:rsidR="00870D8E" w:rsidRPr="00ED25F3" w:rsidRDefault="00656513" w:rsidP="00ED25F3">
      <w:pPr>
        <w:pStyle w:val="ListParagraph"/>
        <w:numPr>
          <w:ilvl w:val="1"/>
          <w:numId w:val="1"/>
        </w:numPr>
        <w:spacing w:after="160" w:line="259" w:lineRule="auto"/>
        <w:rPr>
          <w:sz w:val="26"/>
          <w:szCs w:val="26"/>
        </w:rPr>
      </w:pPr>
      <w:r>
        <w:rPr>
          <w:color w:val="FF0000"/>
          <w:sz w:val="26"/>
          <w:szCs w:val="26"/>
        </w:rPr>
        <w:t>Further discussion needed regarding specifics</w:t>
      </w:r>
      <w:r w:rsidR="00ED25F3">
        <w:rPr>
          <w:color w:val="FF0000"/>
          <w:sz w:val="26"/>
          <w:szCs w:val="26"/>
        </w:rPr>
        <w:t>. S</w:t>
      </w:r>
      <w:r>
        <w:rPr>
          <w:color w:val="FF0000"/>
          <w:sz w:val="26"/>
          <w:szCs w:val="26"/>
        </w:rPr>
        <w:t>ee Career Service Council recommendations for more details</w:t>
      </w:r>
      <w:r w:rsidR="00ED25F3">
        <w:rPr>
          <w:color w:val="FF0000"/>
          <w:sz w:val="26"/>
          <w:szCs w:val="26"/>
        </w:rPr>
        <w:t>.</w:t>
      </w:r>
    </w:p>
    <w:p w:rsidR="00656513" w:rsidRDefault="002C0677" w:rsidP="002C0677">
      <w:pPr>
        <w:pStyle w:val="ListParagraph"/>
        <w:numPr>
          <w:ilvl w:val="0"/>
          <w:numId w:val="1"/>
        </w:numPr>
        <w:rPr>
          <w:sz w:val="26"/>
          <w:szCs w:val="26"/>
        </w:rPr>
      </w:pPr>
      <w:r w:rsidRPr="00B62C70">
        <w:rPr>
          <w:sz w:val="26"/>
          <w:szCs w:val="26"/>
        </w:rPr>
        <w:t>Continue coverage of employee health care at 100% of insurance cost, continue to work with FC</w:t>
      </w:r>
      <w:r w:rsidR="00656513">
        <w:rPr>
          <w:sz w:val="26"/>
          <w:szCs w:val="26"/>
        </w:rPr>
        <w:t>S</w:t>
      </w:r>
      <w:r w:rsidRPr="00B62C70">
        <w:rPr>
          <w:sz w:val="26"/>
          <w:szCs w:val="26"/>
        </w:rPr>
        <w:t>RMC to provide more affordable plans,and continue to promote SF Wellness Programs for a healthier life style.</w:t>
      </w:r>
    </w:p>
    <w:p w:rsidR="00E81FA4" w:rsidRPr="002C0677" w:rsidRDefault="00656513" w:rsidP="00656513">
      <w:pPr>
        <w:pStyle w:val="ListParagraph"/>
        <w:numPr>
          <w:ilvl w:val="1"/>
          <w:numId w:val="1"/>
        </w:numPr>
        <w:rPr>
          <w:sz w:val="26"/>
          <w:szCs w:val="26"/>
        </w:rPr>
      </w:pPr>
      <w:r>
        <w:rPr>
          <w:color w:val="FF0000"/>
          <w:sz w:val="26"/>
          <w:szCs w:val="26"/>
        </w:rPr>
        <w:t>A</w:t>
      </w:r>
      <w:r w:rsidR="00552D03">
        <w:rPr>
          <w:color w:val="FF0000"/>
          <w:sz w:val="26"/>
          <w:szCs w:val="26"/>
        </w:rPr>
        <w:t>greed</w:t>
      </w:r>
    </w:p>
    <w:p w:rsidR="00656513" w:rsidRDefault="006B6BB3" w:rsidP="00E81FA4">
      <w:pPr>
        <w:pStyle w:val="ListParagraph"/>
        <w:numPr>
          <w:ilvl w:val="0"/>
          <w:numId w:val="1"/>
        </w:numPr>
        <w:rPr>
          <w:sz w:val="26"/>
          <w:szCs w:val="26"/>
        </w:rPr>
      </w:pPr>
      <w:r w:rsidRPr="000B43B6">
        <w:rPr>
          <w:sz w:val="26"/>
          <w:szCs w:val="26"/>
        </w:rPr>
        <w:t xml:space="preserve">Advocate through the AFC </w:t>
      </w:r>
      <w:r w:rsidR="002B647E" w:rsidRPr="000B43B6">
        <w:rPr>
          <w:sz w:val="26"/>
          <w:szCs w:val="26"/>
        </w:rPr>
        <w:t xml:space="preserve">the supportof </w:t>
      </w:r>
      <w:r w:rsidR="001D11A1" w:rsidRPr="000B43B6">
        <w:rPr>
          <w:sz w:val="26"/>
          <w:szCs w:val="26"/>
        </w:rPr>
        <w:t xml:space="preserve">the </w:t>
      </w:r>
      <w:r w:rsidR="00E81FA4" w:rsidRPr="000B43B6">
        <w:rPr>
          <w:sz w:val="26"/>
          <w:szCs w:val="26"/>
        </w:rPr>
        <w:t xml:space="preserve">current standards of basing retirement pay on an employee’s top </w:t>
      </w:r>
      <w:r w:rsidR="00222C92" w:rsidRPr="000B43B6">
        <w:rPr>
          <w:sz w:val="26"/>
          <w:szCs w:val="26"/>
        </w:rPr>
        <w:t>five years of state employment, keep</w:t>
      </w:r>
      <w:r w:rsidR="000211F9">
        <w:rPr>
          <w:sz w:val="26"/>
          <w:szCs w:val="26"/>
        </w:rPr>
        <w:t xml:space="preserve"> the </w:t>
      </w:r>
      <w:r w:rsidR="00E81FA4" w:rsidRPr="000B43B6">
        <w:rPr>
          <w:sz w:val="26"/>
          <w:szCs w:val="26"/>
        </w:rPr>
        <w:t>DROP interest rate a</w:t>
      </w:r>
      <w:r w:rsidR="00222C92" w:rsidRPr="000B43B6">
        <w:rPr>
          <w:sz w:val="26"/>
          <w:szCs w:val="26"/>
        </w:rPr>
        <w:t xml:space="preserve">t its current level, </w:t>
      </w:r>
      <w:r w:rsidR="0024718B">
        <w:rPr>
          <w:sz w:val="26"/>
          <w:szCs w:val="26"/>
        </w:rPr>
        <w:t xml:space="preserve">restore and </w:t>
      </w:r>
      <w:r w:rsidR="00222C92" w:rsidRPr="000B43B6">
        <w:rPr>
          <w:sz w:val="26"/>
          <w:szCs w:val="26"/>
        </w:rPr>
        <w:t>maintain</w:t>
      </w:r>
      <w:r w:rsidR="00E81FA4" w:rsidRPr="000B43B6">
        <w:rPr>
          <w:sz w:val="26"/>
          <w:szCs w:val="26"/>
        </w:rPr>
        <w:t xml:space="preserve"> the historical tradition of a FRS 3% annual </w:t>
      </w:r>
      <w:r w:rsidR="00D00178" w:rsidRPr="000B43B6">
        <w:rPr>
          <w:sz w:val="26"/>
          <w:szCs w:val="26"/>
        </w:rPr>
        <w:t xml:space="preserve">increase in retirement pay, </w:t>
      </w:r>
      <w:r w:rsidR="00222C92" w:rsidRPr="000B43B6">
        <w:rPr>
          <w:sz w:val="26"/>
          <w:szCs w:val="26"/>
        </w:rPr>
        <w:t>keep</w:t>
      </w:r>
      <w:r w:rsidR="00E81FA4" w:rsidRPr="000B43B6">
        <w:rPr>
          <w:sz w:val="26"/>
          <w:szCs w:val="26"/>
        </w:rPr>
        <w:t xml:space="preserve"> the insurance subsidy to help retirees cove</w:t>
      </w:r>
      <w:r w:rsidR="0023468A" w:rsidRPr="000B43B6">
        <w:rPr>
          <w:sz w:val="26"/>
          <w:szCs w:val="26"/>
        </w:rPr>
        <w:t>r the rising insurance premiums</w:t>
      </w:r>
      <w:r w:rsidR="002C0677">
        <w:rPr>
          <w:sz w:val="26"/>
          <w:szCs w:val="26"/>
        </w:rPr>
        <w:t>.</w:t>
      </w:r>
    </w:p>
    <w:p w:rsidR="002C0677" w:rsidRPr="00ED25F3" w:rsidRDefault="00656513" w:rsidP="00ED25F3">
      <w:pPr>
        <w:pStyle w:val="ListParagraph"/>
        <w:numPr>
          <w:ilvl w:val="1"/>
          <w:numId w:val="1"/>
        </w:numPr>
        <w:rPr>
          <w:sz w:val="26"/>
          <w:szCs w:val="26"/>
        </w:rPr>
      </w:pPr>
      <w:r>
        <w:rPr>
          <w:color w:val="FF0000"/>
          <w:sz w:val="26"/>
          <w:szCs w:val="26"/>
        </w:rPr>
        <w:t>R</w:t>
      </w:r>
      <w:r w:rsidR="00552D03">
        <w:rPr>
          <w:color w:val="FF0000"/>
          <w:sz w:val="26"/>
          <w:szCs w:val="26"/>
        </w:rPr>
        <w:t>efer to AFC representatives (independent organization)</w:t>
      </w:r>
    </w:p>
    <w:p w:rsidR="00656513" w:rsidRDefault="002C0677" w:rsidP="002C0677">
      <w:pPr>
        <w:pStyle w:val="ListParagraph"/>
        <w:numPr>
          <w:ilvl w:val="0"/>
          <w:numId w:val="1"/>
        </w:numPr>
        <w:rPr>
          <w:sz w:val="26"/>
          <w:szCs w:val="26"/>
        </w:rPr>
      </w:pPr>
      <w:r w:rsidRPr="002C0677">
        <w:rPr>
          <w:sz w:val="26"/>
          <w:szCs w:val="26"/>
        </w:rPr>
        <w:t>Advocate through the AFC that the state fund the two retirement plans offered to employees equally: increase the employer contribution to FRS Investment Plan &amp; CCORP so that the total percentage contributed equals the average total contribution of the 2002-2011 period without increasing employee contributions.</w:t>
      </w:r>
    </w:p>
    <w:p w:rsidR="007A5540" w:rsidRPr="002C0677" w:rsidRDefault="00656513" w:rsidP="00656513">
      <w:pPr>
        <w:pStyle w:val="ListParagraph"/>
        <w:numPr>
          <w:ilvl w:val="1"/>
          <w:numId w:val="1"/>
        </w:numPr>
        <w:rPr>
          <w:sz w:val="26"/>
          <w:szCs w:val="26"/>
        </w:rPr>
      </w:pPr>
      <w:r>
        <w:rPr>
          <w:color w:val="FF0000"/>
          <w:sz w:val="26"/>
          <w:szCs w:val="26"/>
        </w:rPr>
        <w:t>R</w:t>
      </w:r>
      <w:r w:rsidR="00552D03">
        <w:rPr>
          <w:color w:val="FF0000"/>
          <w:sz w:val="26"/>
          <w:szCs w:val="26"/>
        </w:rPr>
        <w:t>efer to AFC representatives (independent organization)</w:t>
      </w:r>
    </w:p>
    <w:p w:rsidR="00142A18" w:rsidRPr="000B43B6" w:rsidRDefault="00142A18" w:rsidP="00142A18">
      <w:pPr>
        <w:pStyle w:val="ListParagraph"/>
        <w:rPr>
          <w:sz w:val="26"/>
          <w:szCs w:val="26"/>
        </w:rPr>
      </w:pPr>
    </w:p>
    <w:sectPr w:rsidR="00142A18" w:rsidRPr="000B43B6" w:rsidSect="00461A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1C9" w:rsidRPr="000B43B6" w:rsidRDefault="003071C9" w:rsidP="00C74227">
      <w:pPr>
        <w:spacing w:after="0" w:line="240" w:lineRule="auto"/>
        <w:rPr>
          <w:sz w:val="20"/>
          <w:szCs w:val="20"/>
        </w:rPr>
      </w:pPr>
      <w:r w:rsidRPr="000B43B6">
        <w:rPr>
          <w:sz w:val="20"/>
          <w:szCs w:val="20"/>
        </w:rPr>
        <w:separator/>
      </w:r>
    </w:p>
  </w:endnote>
  <w:endnote w:type="continuationSeparator" w:id="1">
    <w:p w:rsidR="003071C9" w:rsidRPr="000B43B6" w:rsidRDefault="003071C9" w:rsidP="00C74227">
      <w:pPr>
        <w:spacing w:after="0" w:line="240" w:lineRule="auto"/>
        <w:rPr>
          <w:sz w:val="20"/>
          <w:szCs w:val="20"/>
        </w:rPr>
      </w:pPr>
      <w:r w:rsidRPr="000B43B6">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1C9" w:rsidRPr="000B43B6" w:rsidRDefault="003071C9" w:rsidP="00C74227">
      <w:pPr>
        <w:spacing w:after="0" w:line="240" w:lineRule="auto"/>
        <w:rPr>
          <w:sz w:val="20"/>
          <w:szCs w:val="20"/>
        </w:rPr>
      </w:pPr>
      <w:r w:rsidRPr="000B43B6">
        <w:rPr>
          <w:sz w:val="20"/>
          <w:szCs w:val="20"/>
        </w:rPr>
        <w:separator/>
      </w:r>
    </w:p>
  </w:footnote>
  <w:footnote w:type="continuationSeparator" w:id="1">
    <w:p w:rsidR="003071C9" w:rsidRPr="000B43B6" w:rsidRDefault="003071C9" w:rsidP="00C74227">
      <w:pPr>
        <w:spacing w:after="0" w:line="240" w:lineRule="auto"/>
        <w:rPr>
          <w:sz w:val="20"/>
          <w:szCs w:val="20"/>
        </w:rPr>
      </w:pPr>
      <w:r w:rsidRPr="000B43B6">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8D2"/>
    <w:multiLevelType w:val="hybridMultilevel"/>
    <w:tmpl w:val="B30A305A"/>
    <w:lvl w:ilvl="0" w:tplc="9AC296D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87C3A"/>
    <w:multiLevelType w:val="hybridMultilevel"/>
    <w:tmpl w:val="0814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2070C"/>
    <w:multiLevelType w:val="hybridMultilevel"/>
    <w:tmpl w:val="CA46918E"/>
    <w:lvl w:ilvl="0" w:tplc="36E4581E">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1017F1"/>
    <w:multiLevelType w:val="hybridMultilevel"/>
    <w:tmpl w:val="3688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A268E"/>
    <w:multiLevelType w:val="hybridMultilevel"/>
    <w:tmpl w:val="2D88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E81FA4"/>
    <w:rsid w:val="000211F9"/>
    <w:rsid w:val="00023CE0"/>
    <w:rsid w:val="000470A2"/>
    <w:rsid w:val="000B43B6"/>
    <w:rsid w:val="000D098D"/>
    <w:rsid w:val="000D2D3A"/>
    <w:rsid w:val="000E5A6F"/>
    <w:rsid w:val="00142A18"/>
    <w:rsid w:val="001525C5"/>
    <w:rsid w:val="0017028B"/>
    <w:rsid w:val="00170CFE"/>
    <w:rsid w:val="001A1EF5"/>
    <w:rsid w:val="001A4009"/>
    <w:rsid w:val="001A691A"/>
    <w:rsid w:val="001D11A1"/>
    <w:rsid w:val="001D40B1"/>
    <w:rsid w:val="001D5880"/>
    <w:rsid w:val="00213798"/>
    <w:rsid w:val="00222C92"/>
    <w:rsid w:val="002322B9"/>
    <w:rsid w:val="0023468A"/>
    <w:rsid w:val="0024718B"/>
    <w:rsid w:val="00260C42"/>
    <w:rsid w:val="00276087"/>
    <w:rsid w:val="002775EC"/>
    <w:rsid w:val="00282BFD"/>
    <w:rsid w:val="00297C4C"/>
    <w:rsid w:val="002B647E"/>
    <w:rsid w:val="002C02C9"/>
    <w:rsid w:val="002C0677"/>
    <w:rsid w:val="002C5397"/>
    <w:rsid w:val="002F059C"/>
    <w:rsid w:val="003052F9"/>
    <w:rsid w:val="003071C9"/>
    <w:rsid w:val="00351961"/>
    <w:rsid w:val="003766F2"/>
    <w:rsid w:val="00386A34"/>
    <w:rsid w:val="003A7221"/>
    <w:rsid w:val="00422820"/>
    <w:rsid w:val="004427E1"/>
    <w:rsid w:val="00461A88"/>
    <w:rsid w:val="004657F7"/>
    <w:rsid w:val="004975F8"/>
    <w:rsid w:val="004A1AF9"/>
    <w:rsid w:val="004C1B99"/>
    <w:rsid w:val="004E1997"/>
    <w:rsid w:val="00503BF1"/>
    <w:rsid w:val="00512F3C"/>
    <w:rsid w:val="00514B6C"/>
    <w:rsid w:val="00552D03"/>
    <w:rsid w:val="00557B4D"/>
    <w:rsid w:val="005C008B"/>
    <w:rsid w:val="005D4F47"/>
    <w:rsid w:val="005D6379"/>
    <w:rsid w:val="00624AEC"/>
    <w:rsid w:val="00642501"/>
    <w:rsid w:val="006505E6"/>
    <w:rsid w:val="00656513"/>
    <w:rsid w:val="006B6BB3"/>
    <w:rsid w:val="006E3EEE"/>
    <w:rsid w:val="007035B7"/>
    <w:rsid w:val="007344A7"/>
    <w:rsid w:val="007537B5"/>
    <w:rsid w:val="007558A8"/>
    <w:rsid w:val="00796DA5"/>
    <w:rsid w:val="007A5540"/>
    <w:rsid w:val="007D60E5"/>
    <w:rsid w:val="008046DD"/>
    <w:rsid w:val="00813EB2"/>
    <w:rsid w:val="008301BA"/>
    <w:rsid w:val="00832DA7"/>
    <w:rsid w:val="008551E0"/>
    <w:rsid w:val="00856F84"/>
    <w:rsid w:val="00870D8E"/>
    <w:rsid w:val="00883773"/>
    <w:rsid w:val="00895A5E"/>
    <w:rsid w:val="008B7D90"/>
    <w:rsid w:val="008D0275"/>
    <w:rsid w:val="00922724"/>
    <w:rsid w:val="00931C05"/>
    <w:rsid w:val="0093305D"/>
    <w:rsid w:val="00974169"/>
    <w:rsid w:val="009E62F0"/>
    <w:rsid w:val="00A056F9"/>
    <w:rsid w:val="00A23F5B"/>
    <w:rsid w:val="00A3619E"/>
    <w:rsid w:val="00A42AA1"/>
    <w:rsid w:val="00A71BBD"/>
    <w:rsid w:val="00A76678"/>
    <w:rsid w:val="00A84A50"/>
    <w:rsid w:val="00AD1987"/>
    <w:rsid w:val="00AE39E7"/>
    <w:rsid w:val="00AF095A"/>
    <w:rsid w:val="00B00E00"/>
    <w:rsid w:val="00B201DE"/>
    <w:rsid w:val="00B2701F"/>
    <w:rsid w:val="00B62C70"/>
    <w:rsid w:val="00B715D8"/>
    <w:rsid w:val="00BB2B41"/>
    <w:rsid w:val="00BC1F1F"/>
    <w:rsid w:val="00BD51BD"/>
    <w:rsid w:val="00BE1060"/>
    <w:rsid w:val="00BE32EF"/>
    <w:rsid w:val="00BF1C0E"/>
    <w:rsid w:val="00C017E7"/>
    <w:rsid w:val="00C7404A"/>
    <w:rsid w:val="00C74227"/>
    <w:rsid w:val="00C87A96"/>
    <w:rsid w:val="00C971E4"/>
    <w:rsid w:val="00C97F93"/>
    <w:rsid w:val="00CA16ED"/>
    <w:rsid w:val="00CB08B8"/>
    <w:rsid w:val="00CB4F76"/>
    <w:rsid w:val="00CD5DB9"/>
    <w:rsid w:val="00D00178"/>
    <w:rsid w:val="00D10A7F"/>
    <w:rsid w:val="00D42E60"/>
    <w:rsid w:val="00D668CF"/>
    <w:rsid w:val="00D76C42"/>
    <w:rsid w:val="00DC614D"/>
    <w:rsid w:val="00DD7FAF"/>
    <w:rsid w:val="00DE7303"/>
    <w:rsid w:val="00E45EE1"/>
    <w:rsid w:val="00E515E9"/>
    <w:rsid w:val="00E71400"/>
    <w:rsid w:val="00E724F0"/>
    <w:rsid w:val="00E73564"/>
    <w:rsid w:val="00E81FA4"/>
    <w:rsid w:val="00EC216E"/>
    <w:rsid w:val="00ED25F3"/>
    <w:rsid w:val="00EE738E"/>
    <w:rsid w:val="00EF4CBC"/>
    <w:rsid w:val="00F1207C"/>
    <w:rsid w:val="00F16A63"/>
    <w:rsid w:val="00F3543C"/>
    <w:rsid w:val="00F742A3"/>
    <w:rsid w:val="00FA2495"/>
    <w:rsid w:val="00FB4CC7"/>
    <w:rsid w:val="00FE06FC"/>
    <w:rsid w:val="00FF48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A4"/>
    <w:pPr>
      <w:ind w:left="720"/>
      <w:contextualSpacing/>
    </w:pPr>
  </w:style>
  <w:style w:type="paragraph" w:styleId="BalloonText">
    <w:name w:val="Balloon Text"/>
    <w:basedOn w:val="Normal"/>
    <w:link w:val="BalloonTextChar"/>
    <w:uiPriority w:val="99"/>
    <w:semiHidden/>
    <w:unhideWhenUsed/>
    <w:rsid w:val="00734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A7"/>
    <w:rPr>
      <w:rFonts w:ascii="Tahoma" w:hAnsi="Tahoma" w:cs="Tahoma"/>
      <w:sz w:val="16"/>
      <w:szCs w:val="16"/>
    </w:rPr>
  </w:style>
  <w:style w:type="paragraph" w:styleId="Header">
    <w:name w:val="header"/>
    <w:basedOn w:val="Normal"/>
    <w:link w:val="HeaderChar"/>
    <w:uiPriority w:val="99"/>
    <w:semiHidden/>
    <w:unhideWhenUsed/>
    <w:rsid w:val="00C74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227"/>
  </w:style>
  <w:style w:type="paragraph" w:styleId="Footer">
    <w:name w:val="footer"/>
    <w:basedOn w:val="Normal"/>
    <w:link w:val="FooterChar"/>
    <w:uiPriority w:val="99"/>
    <w:semiHidden/>
    <w:unhideWhenUsed/>
    <w:rsid w:val="00C742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227"/>
  </w:style>
</w:styles>
</file>

<file path=word/webSettings.xml><?xml version="1.0" encoding="utf-8"?>
<w:webSettings xmlns:r="http://schemas.openxmlformats.org/officeDocument/2006/relationships" xmlns:w="http://schemas.openxmlformats.org/wordprocessingml/2006/main">
  <w:divs>
    <w:div w:id="16943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2813-CA79-6E4C-A5A8-445BECF6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Santa Fe Community College</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Tom</dc:creator>
  <cp:lastModifiedBy>Windows User</cp:lastModifiedBy>
  <cp:revision>2</cp:revision>
  <cp:lastPrinted>2018-06-03T20:38:00Z</cp:lastPrinted>
  <dcterms:created xsi:type="dcterms:W3CDTF">2018-07-24T02:32:00Z</dcterms:created>
  <dcterms:modified xsi:type="dcterms:W3CDTF">2018-07-24T02:32:00Z</dcterms:modified>
</cp:coreProperties>
</file>